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CA6" w:rsidRDefault="006D2CA6" w:rsidP="006D2CA6">
      <w:pPr>
        <w:jc w:val="center"/>
        <w:rPr>
          <w:b/>
          <w:color w:val="000000"/>
          <w:sz w:val="28"/>
          <w:szCs w:val="28"/>
        </w:rPr>
      </w:pPr>
      <w:r w:rsidRPr="00B14713">
        <w:rPr>
          <w:b/>
          <w:color w:val="000000"/>
          <w:sz w:val="28"/>
          <w:szCs w:val="28"/>
        </w:rPr>
        <w:t>Уголовная ответственность за преступления, связанные с незаконным оборотом наркотических средств</w:t>
      </w:r>
    </w:p>
    <w:p w:rsidR="006D2CA6" w:rsidRDefault="006D2CA6" w:rsidP="006D2CA6">
      <w:pPr>
        <w:jc w:val="center"/>
        <w:rPr>
          <w:b/>
          <w:color w:val="000000"/>
          <w:sz w:val="28"/>
          <w:szCs w:val="28"/>
        </w:rPr>
      </w:pP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Уголовным законодательством Российской Федерации предусмотрена ответственность за любые формы незаконного оборота наркотических веществ – изготовление, хранение, транспортировку, переработку и т.д.</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Статья 228 Уголовного кодекса Российской Федерации предусматривает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в значительном размере. А также за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Санкция статьи предусматривает следующие виды наказания: штраф в размере до сорока тысяч рублей или в размере заработной платы или иного дохода осужденного за период до трех месяцев, либо обязательные работы на срок до четырехсот восьмидесяти часов, либо исправительные работы на срок до двух лет, либо ограничение свободы на срок до трех лет, либо лишение свободы на тот же срок.</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 xml:space="preserve">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w:t>
      </w:r>
      <w:r w:rsidRPr="00B14713">
        <w:rPr>
          <w:color w:val="000000"/>
          <w:sz w:val="28"/>
          <w:szCs w:val="28"/>
          <w:shd w:val="clear" w:color="auto" w:fill="FFFFFF"/>
        </w:rPr>
        <w:lastRenderedPageBreak/>
        <w:t>средства или психотропные вещества, для целей настоящей статьи, статей 228.1, 229 и 229.1 Уголовного Кодекса Российской Федерации утверждаются Правительством Российской Федерации.</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6D2CA6" w:rsidRDefault="006D2CA6" w:rsidP="006D2CA6">
      <w:pPr>
        <w:jc w:val="both"/>
        <w:rPr>
          <w:color w:val="000000"/>
          <w:sz w:val="28"/>
          <w:szCs w:val="28"/>
          <w:shd w:val="clear" w:color="auto" w:fill="FFFFFF"/>
        </w:rPr>
      </w:pPr>
    </w:p>
    <w:p w:rsidR="006D2CA6" w:rsidRDefault="006D2CA6" w:rsidP="006D2CA6">
      <w:pPr>
        <w:jc w:val="center"/>
        <w:rPr>
          <w:b/>
          <w:color w:val="000000"/>
          <w:sz w:val="28"/>
          <w:szCs w:val="28"/>
        </w:rPr>
      </w:pPr>
      <w:r w:rsidRPr="00B14713">
        <w:rPr>
          <w:b/>
          <w:color w:val="000000"/>
          <w:sz w:val="28"/>
          <w:szCs w:val="28"/>
        </w:rPr>
        <w:t>С 1 марта 2023 года для лиц, имеющих судимость за совершение отдельных преступлений, установлен запрет на управление легковым такси и общественным транспортом</w:t>
      </w:r>
    </w:p>
    <w:p w:rsidR="006D2CA6" w:rsidRDefault="006D2CA6" w:rsidP="006D2CA6">
      <w:pPr>
        <w:jc w:val="center"/>
        <w:rPr>
          <w:b/>
          <w:color w:val="000000"/>
          <w:sz w:val="28"/>
          <w:szCs w:val="28"/>
        </w:rPr>
      </w:pP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Федеральным законом от 11.06.2022 № 155-ФЗ «О внесении изменения в Трудовой кодекс Российской Федерации» предусмотрены ограничения на осуществление перевозок пассажиров легковыми такси, автобусами, трамваями, троллейбусами и подвижным составом внеуличного транспорта лицами, имеющими неснятую или непогашенную судимость за совершение преступлений либо подвергающимися уголовному преследованию за такие  преступления как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общественной безопасности, основ конституционного строя и безопасности государства,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а также за аналогичные преступления, предусмотренные законодательством иностранного государства – члена Евразийского экономического союза.</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Предусмотрено, что работодатель обязан отстранить от работы (не допускать к работе) работника при получении сведений от правоохранительных органов о том, что работник подвергся уголовному преследованию за указанные выше преступления.</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Законодателем также установлена обязанность работника, осуществляющего перевозки пассажиров и багажа, до 1 сентября 2023 года представить работодателю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 xml:space="preserve">Трудовой договор с работником – гражданином Российской Федерации и работником, не являющимся гражданином Российской Федерации и имеющим гражданство другого государства – члена Евразийского экономического союза, не представившим работодателю данную справку, подлежит прекращению по основанию, предусмотренному пунктом 13 части 1 статьи 83 Трудового кодекса Российской Федерации (возникновение установленных Трудовым  Кодексом, иным федеральным законом и исключающих возможность исполнения работником обязанностей по </w:t>
      </w:r>
      <w:r w:rsidRPr="00B14713">
        <w:rPr>
          <w:color w:val="000000"/>
          <w:sz w:val="28"/>
          <w:szCs w:val="28"/>
          <w:shd w:val="clear" w:color="auto" w:fill="FFFFFF"/>
        </w:rPr>
        <w:lastRenderedPageBreak/>
        <w:t>трудовому договору ограничений на занятие определенными видами трудовой деятельности).</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Изменения вступили в силу с 1 марта 2023 года.</w:t>
      </w:r>
    </w:p>
    <w:p w:rsidR="006D2CA6" w:rsidRDefault="006D2CA6" w:rsidP="006D2CA6">
      <w:pPr>
        <w:jc w:val="center"/>
        <w:rPr>
          <w:b/>
          <w:color w:val="000000"/>
          <w:sz w:val="28"/>
          <w:szCs w:val="28"/>
        </w:rPr>
      </w:pPr>
    </w:p>
    <w:p w:rsidR="006D2CA6" w:rsidRDefault="006D2CA6" w:rsidP="006D2CA6">
      <w:pPr>
        <w:jc w:val="center"/>
        <w:rPr>
          <w:b/>
          <w:color w:val="000000"/>
          <w:sz w:val="28"/>
          <w:szCs w:val="28"/>
        </w:rPr>
      </w:pPr>
      <w:r w:rsidRPr="00B14713">
        <w:rPr>
          <w:b/>
          <w:bCs/>
          <w:color w:val="000000"/>
          <w:sz w:val="28"/>
          <w:szCs w:val="28"/>
        </w:rPr>
        <w:t>Имеет ли право муниципальный служащий сдавать принадлежащую ему квартиру в аренду?</w:t>
      </w:r>
    </w:p>
    <w:p w:rsidR="006D2CA6" w:rsidRPr="00B14713" w:rsidRDefault="006D2CA6" w:rsidP="006D2CA6">
      <w:pPr>
        <w:rPr>
          <w:sz w:val="28"/>
          <w:szCs w:val="28"/>
        </w:rPr>
      </w:pPr>
    </w:p>
    <w:p w:rsidR="006D2CA6" w:rsidRPr="00B14713" w:rsidRDefault="006D2CA6" w:rsidP="006D2CA6">
      <w:pPr>
        <w:rPr>
          <w:sz w:val="28"/>
          <w:szCs w:val="28"/>
        </w:rPr>
      </w:pPr>
    </w:p>
    <w:p w:rsidR="006D2CA6" w:rsidRDefault="006D2CA6" w:rsidP="006D2CA6">
      <w:pPr>
        <w:rPr>
          <w:sz w:val="28"/>
          <w:szCs w:val="28"/>
        </w:rPr>
      </w:pP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Муниципальным служащим запрещено заниматься предпринимательской деятельностью лично или через доверенных лиц (п. 3.1 ч. 1 ст. 14 Федерального закона от 02.03.2007 № 25-ФЗ «О муниципальной службе в Российской Федерации»). В связи с этим муниципальный служащий вправе таким способом распоряжаться недвижимым имуществом, но при условии, что получение прибыли не являлось целью его приобретения. Таким образом, муниципальный служащий вправе сдавать жилое помещение в аренду, если сделка не имеет признаков предпринимательской деятельности.</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К предпринимательской деятельности при сдаче квартиры в аренду можно отнести: сдачу квартиры посуточно; сдачу в аренду сразу нескольких квартир, покупку квартиры с целью ее последующей сдачи в аренду.</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Сумму дохода, полученную от сдачи квартиры в аренду, в обязательном порядке необходимо отражать в справке о доходах, расходах, об имуществе и обязательствах имущественного характера с уплатой соответствующего налога.</w:t>
      </w:r>
    </w:p>
    <w:p w:rsidR="006D2CA6" w:rsidRPr="00B14713" w:rsidRDefault="006D2CA6" w:rsidP="006D2CA6">
      <w:pPr>
        <w:jc w:val="center"/>
        <w:rPr>
          <w:b/>
          <w:bCs/>
          <w:color w:val="000000"/>
          <w:sz w:val="28"/>
          <w:szCs w:val="28"/>
        </w:rPr>
      </w:pPr>
    </w:p>
    <w:p w:rsidR="006D2CA6" w:rsidRDefault="006D2CA6" w:rsidP="006D2CA6">
      <w:pPr>
        <w:jc w:val="center"/>
        <w:rPr>
          <w:b/>
          <w:color w:val="000000"/>
          <w:sz w:val="28"/>
          <w:szCs w:val="28"/>
        </w:rPr>
      </w:pPr>
      <w:r w:rsidRPr="00B14713">
        <w:rPr>
          <w:b/>
          <w:color w:val="000000"/>
          <w:sz w:val="28"/>
          <w:szCs w:val="28"/>
        </w:rPr>
        <w:t>Об ответственности за несоблюдение требований в области охраны окружающей среды при обращении с отходами производства и потребления</w:t>
      </w:r>
    </w:p>
    <w:p w:rsidR="006D2CA6" w:rsidRDefault="006D2CA6" w:rsidP="006D2CA6">
      <w:pPr>
        <w:jc w:val="center"/>
        <w:rPr>
          <w:b/>
          <w:color w:val="000000"/>
          <w:sz w:val="28"/>
          <w:szCs w:val="28"/>
        </w:rPr>
      </w:pPr>
    </w:p>
    <w:p w:rsidR="006D2CA6" w:rsidRDefault="006D2CA6" w:rsidP="006D2CA6">
      <w:pPr>
        <w:jc w:val="both"/>
        <w:rPr>
          <w:color w:val="000000"/>
          <w:sz w:val="28"/>
          <w:szCs w:val="28"/>
          <w:shd w:val="clear" w:color="auto" w:fill="FFFFFF"/>
        </w:rPr>
      </w:pPr>
      <w:r w:rsidRPr="00B14713">
        <w:rPr>
          <w:color w:val="000000"/>
          <w:sz w:val="28"/>
          <w:szCs w:val="28"/>
          <w:shd w:val="clear" w:color="auto" w:fill="FFFFFF"/>
        </w:rPr>
        <w:t xml:space="preserve">Право граждан на благоприятную окружающую среду закреплено в статье 42 Конституции Российской Федерации и статье 11 Федерального закона от 10 января 2002 года № 7-ФЗ "Об охране окружающей среды". Осуществление накопления,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 Так, частью 1 статьи 8.2 КоАП РФ предусмотрена ответственность за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Совершение данного административного правонарушения влечет наложение административного штрафа на граждан в размере от 2 до 3 тыс. рублей; на должностных лиц - от 10 до 30 тыс. рублей; на лиц, осуществляющих предпринимательскую деятельность без образования юридического лица, - от 30 до 50 тыс. рублей или административное приостановление деятельности на срок до девяноста суток; на юридических лиц - от 100 до 250 тыс. рублей или </w:t>
      </w:r>
      <w:r w:rsidRPr="00B14713">
        <w:rPr>
          <w:color w:val="000000"/>
          <w:sz w:val="28"/>
          <w:szCs w:val="28"/>
          <w:shd w:val="clear" w:color="auto" w:fill="FFFFFF"/>
        </w:rPr>
        <w:lastRenderedPageBreak/>
        <w:t>административное приостановление деятельности на срок до девяноста суток.</w:t>
      </w:r>
    </w:p>
    <w:p w:rsidR="006D2CA6" w:rsidRDefault="006D2CA6" w:rsidP="006D2CA6">
      <w:pPr>
        <w:jc w:val="both"/>
        <w:rPr>
          <w:color w:val="000000"/>
          <w:sz w:val="28"/>
          <w:szCs w:val="28"/>
          <w:shd w:val="clear" w:color="auto" w:fill="FFFFFF"/>
        </w:rPr>
      </w:pPr>
    </w:p>
    <w:p w:rsidR="006D2CA6" w:rsidRDefault="006D2CA6" w:rsidP="006D2CA6">
      <w:pPr>
        <w:jc w:val="center"/>
        <w:rPr>
          <w:b/>
          <w:color w:val="000000"/>
          <w:sz w:val="28"/>
          <w:szCs w:val="28"/>
        </w:rPr>
      </w:pPr>
      <w:r w:rsidRPr="00B14713">
        <w:rPr>
          <w:b/>
          <w:bCs/>
          <w:color w:val="000000"/>
          <w:sz w:val="28"/>
          <w:szCs w:val="28"/>
        </w:rPr>
        <w:t>Внесены поправки в Трудовой кодекс Российской Федерации</w:t>
      </w:r>
    </w:p>
    <w:p w:rsidR="006D2CA6" w:rsidRPr="00B14713" w:rsidRDefault="006D2CA6" w:rsidP="006D2CA6">
      <w:pPr>
        <w:rPr>
          <w:sz w:val="28"/>
          <w:szCs w:val="28"/>
        </w:rPr>
      </w:pPr>
    </w:p>
    <w:p w:rsidR="006D2CA6" w:rsidRDefault="006D2CA6" w:rsidP="006D2CA6">
      <w:pPr>
        <w:rPr>
          <w:sz w:val="28"/>
          <w:szCs w:val="28"/>
        </w:rPr>
      </w:pP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Федеральным законом от 13 июня 2023 г. № 259-ФЗ внесены изменения в статью 63 Трудового кодекса Российской Федерации, в частности касающиеся вопросов трудоустройства несовершеннолетних граждан.</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Так, для заключения трудового договора с подростком, достигшим 14 лет, согласие органов опеки и попечительства теперь не потребуется. Достаточно получить письменное согласие одного из родителей (попечителя).Трудоустройство детей-сирот и детей, оставшихся без попечения родителей, достигших 14 лет, возможно с письменного согласия органов опеки или попечительства, или иного законного представителя. Указанные лица могут привлекаться к легкому труду, не причиняющему вреда их здоровью.</w:t>
      </w:r>
    </w:p>
    <w:p w:rsidR="006D2CA6" w:rsidRDefault="006D2CA6" w:rsidP="006D2CA6">
      <w:pPr>
        <w:jc w:val="center"/>
        <w:rPr>
          <w:b/>
          <w:bCs/>
          <w:color w:val="000000"/>
          <w:sz w:val="28"/>
          <w:szCs w:val="28"/>
        </w:rPr>
      </w:pPr>
      <w:r w:rsidRPr="00B14713">
        <w:rPr>
          <w:b/>
          <w:bCs/>
          <w:color w:val="000000"/>
          <w:sz w:val="28"/>
          <w:szCs w:val="28"/>
        </w:rPr>
        <w:t>Прокуратура района отвечает: «Можно ли запретить ученикам пользоваться телефоном в школе?»</w:t>
      </w:r>
    </w:p>
    <w:p w:rsidR="006D2CA6" w:rsidRDefault="006D2CA6" w:rsidP="006D2CA6">
      <w:pPr>
        <w:jc w:val="center"/>
        <w:rPr>
          <w:b/>
          <w:bCs/>
          <w:color w:val="000000"/>
          <w:sz w:val="28"/>
          <w:szCs w:val="28"/>
        </w:rPr>
      </w:pPr>
    </w:p>
    <w:p w:rsidR="006D2CA6" w:rsidRDefault="006D2CA6" w:rsidP="006D2CA6">
      <w:pPr>
        <w:jc w:val="both"/>
        <w:rPr>
          <w:color w:val="000000"/>
          <w:sz w:val="28"/>
          <w:szCs w:val="28"/>
          <w:shd w:val="clear" w:color="auto" w:fill="FFFFFF"/>
        </w:rPr>
      </w:pPr>
      <w:r w:rsidRPr="00B14713">
        <w:rPr>
          <w:color w:val="000000"/>
          <w:sz w:val="28"/>
          <w:szCs w:val="28"/>
          <w:shd w:val="clear" w:color="auto" w:fill="FFFFFF"/>
        </w:rPr>
        <w:t xml:space="preserve">Федеральный закон от 29 декабря 2012 года № 273-ФЗ «Об образовании в Российской Федерации» не содержит положений, которые касаются порядка пользования мобильными средствами связи в образовательной организации, соответственно, каких-либо ограничений не предусмотрено. Однако согласно п. 3.5.3 Санитарных правил СП 2.4.3648-20 «Санитарно-эпидемиологические требования к организациям воспитания и обучение, отдыха и оздоровления детей и молодежи», утвержденных Постановлением Главного государственного санитарного врача Российской Федерации (далее – Санитарные правила), для образовательных целей мобильные средства связи не используются. Таким образом, запрещается использовать мобильные средства в процессе обучения, непосредственно во время урока, как учащимся, так и учителям в качестве средства обучения. Например, если возникает необходимость продемонстрировать какой-либо видеоматериал или электронный документ, необходимо использовать интерактивные доски, сенсорные экраны, компьютеры, ноутбуки, планшеты, которые соответствуют установленным в Санитарных правилах требованиям. Что касается перемен, то учащиеся имеют право пользоваться мобильными средствами связи, например, могут позвонить родителям или найти необходимую информацию. Следует отметить, что многие образовательные организации закрепляют в своих локальных нормативных актах за учителями право изымать телефоны у тех учеников, которые нарушили правила пользования мобильными средствами. Однако, в ч. 3 ст. 35 Конституции Российской Федерации закреплено положение, согласно которому никто не может быть лишен своего имущества иначе как по решению суда. Соответственно, указанный положения локальных нормативных актов </w:t>
      </w:r>
      <w:r w:rsidRPr="00B14713">
        <w:rPr>
          <w:color w:val="000000"/>
          <w:sz w:val="28"/>
          <w:szCs w:val="28"/>
          <w:shd w:val="clear" w:color="auto" w:fill="FFFFFF"/>
        </w:rPr>
        <w:lastRenderedPageBreak/>
        <w:t>противоречат законодательству Российской Федерации, так как ограничивают право собственности на имущество, а именно на мобильные средства связи, которые принадлежат учащимся и их родителям.</w:t>
      </w:r>
    </w:p>
    <w:p w:rsidR="006D2CA6" w:rsidRDefault="006D2CA6" w:rsidP="006D2CA6">
      <w:pPr>
        <w:rPr>
          <w:sz w:val="28"/>
          <w:szCs w:val="28"/>
        </w:rPr>
      </w:pPr>
    </w:p>
    <w:p w:rsidR="006D2CA6" w:rsidRPr="00B14713" w:rsidRDefault="006D2CA6" w:rsidP="006D2CA6">
      <w:pPr>
        <w:jc w:val="center"/>
        <w:rPr>
          <w:b/>
          <w:bCs/>
          <w:color w:val="000000"/>
          <w:sz w:val="28"/>
          <w:szCs w:val="28"/>
        </w:rPr>
      </w:pPr>
    </w:p>
    <w:p w:rsidR="006D2CA6" w:rsidRDefault="006D2CA6" w:rsidP="006D2CA6">
      <w:pPr>
        <w:jc w:val="center"/>
        <w:rPr>
          <w:b/>
          <w:bCs/>
          <w:color w:val="000000"/>
          <w:sz w:val="28"/>
          <w:szCs w:val="28"/>
        </w:rPr>
      </w:pPr>
      <w:r w:rsidRPr="00B14713">
        <w:rPr>
          <w:b/>
          <w:color w:val="000000"/>
          <w:sz w:val="28"/>
          <w:szCs w:val="28"/>
        </w:rPr>
        <w:t>Уголовная и административная ответственность за действия экстремистского и террористического характера.</w:t>
      </w:r>
    </w:p>
    <w:p w:rsidR="006D2CA6" w:rsidRPr="00B14713" w:rsidRDefault="006D2CA6" w:rsidP="006D2CA6">
      <w:pPr>
        <w:rPr>
          <w:sz w:val="28"/>
          <w:szCs w:val="28"/>
        </w:rPr>
      </w:pPr>
    </w:p>
    <w:p w:rsidR="006D2CA6" w:rsidRDefault="006D2CA6" w:rsidP="006D2CA6">
      <w:pPr>
        <w:rPr>
          <w:sz w:val="28"/>
          <w:szCs w:val="28"/>
        </w:rPr>
      </w:pP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Экстремизм – это приверженность к крайним взглядам, позициям и мерам в общественной деятельности, выражается в различных формах, начиная от проявлений, не выходящих за конституционные рамки, и заканчивая такими острыми и общественно опасными формами, как провокация беспорядков, гражданское неповиновение, мятеж, повстанческая деятельность, террористические акции. Экстремизм более широкое понятие т. к. террористические акции, терроризм - это только одна из форм экстремизма.</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За осуществление экстремистской деятельности предусмотрена уголовная, административная и гражданско-правовая ответственность.</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Преступлениями экстремистского характера являются:</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1) статья 280 УК РФ - публичные призывы к осуществлению экстремистской деятельности;</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2) статья 282 УК РФ - возбуждение ненависти либо вражды, а равно унижение человеческого достоинства;</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3) статья 282.1 УК РФ - организация экстремистского сообщества;</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4) статья 282.2 УК РФ - организация деятельности экстремистской организации.</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В Кодексе об административных правонарушениях Российской Федерации имеются три статьи, предусматривающие ответственность за совершение правонарушения экстремистского характера. Это статья 20.3 - пропаганда и публичное демонстрирование нацистской атрибутики или символики, статья 20.29 - производство и распространение экстремистских материалов и 20.3.1 – возбуждение ненависти либо вражды, а равно унижение человеческого достоинства, если эти действия не содержат уголовно наказуемого деяния.</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Уголовная ответственность за совершение преступлений террористического характера:</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 xml:space="preserve">ст. 205 - террористический акт, содействие террористической деятельности, ст. 205.2 - публичные призывы к осуществлению террористической деятельности или публичное оправдание терроризма, ст. 205.3 - прохождение обучения в целях осуществления террористической деятельности, ст. 205.4 - организация террористического сообщества и участие в нем, ст. 205.5 - организация деятельности террористической организации и участие в деятельности такой организации, ст. 206 - захват заложника, ст. 207 - заведомо ложное сообщение об акте терроризма, ст. 280  - публичные призывы к осуществлению экстремистской деятельности, ст. 280.1 - публичные призывы к осуществлению действий, направленных на </w:t>
      </w:r>
      <w:r w:rsidRPr="00B14713">
        <w:rPr>
          <w:color w:val="000000"/>
          <w:sz w:val="28"/>
          <w:szCs w:val="28"/>
          <w:shd w:val="clear" w:color="auto" w:fill="FFFFFF"/>
        </w:rPr>
        <w:lastRenderedPageBreak/>
        <w:t>нарушение территориальной целостности РФ, ст. 282. - возбуждение ненависти либо вражды, а равно унижение человеческого достоинства, ст. 282.1. - организация экстремистского сообщества, ст. 282.2. - организация деятельности экстремистской организации.</w:t>
      </w:r>
    </w:p>
    <w:p w:rsidR="006D2CA6" w:rsidRPr="00B14713" w:rsidRDefault="006D2CA6" w:rsidP="006D2CA6">
      <w:pPr>
        <w:jc w:val="both"/>
        <w:rPr>
          <w:color w:val="000000"/>
          <w:sz w:val="28"/>
          <w:szCs w:val="28"/>
          <w:shd w:val="clear" w:color="auto" w:fill="FFFFFF"/>
        </w:rPr>
      </w:pPr>
      <w:r w:rsidRPr="00B14713">
        <w:rPr>
          <w:color w:val="000000"/>
          <w:sz w:val="28"/>
          <w:szCs w:val="28"/>
          <w:shd w:val="clear" w:color="auto" w:fill="FFFFFF"/>
        </w:rPr>
        <w:t>За совершение преступлений экстремистского и террористического характера уголовным законом предусмотрены строгие виды наказания, включая пожизненное лишение свободы.</w:t>
      </w:r>
    </w:p>
    <w:p w:rsidR="006D2CA6" w:rsidRPr="00B14713" w:rsidRDefault="006D2CA6" w:rsidP="006D2CA6">
      <w:pPr>
        <w:jc w:val="center"/>
        <w:rPr>
          <w:b/>
          <w:color w:val="000000"/>
          <w:sz w:val="28"/>
          <w:szCs w:val="28"/>
        </w:rPr>
      </w:pPr>
    </w:p>
    <w:p w:rsidR="006D2CA6" w:rsidRDefault="006D2CA6" w:rsidP="006D2CA6">
      <w:pPr>
        <w:jc w:val="center"/>
        <w:rPr>
          <w:b/>
          <w:color w:val="000000"/>
          <w:sz w:val="28"/>
          <w:szCs w:val="28"/>
        </w:rPr>
      </w:pPr>
      <w:r w:rsidRPr="00B14713">
        <w:rPr>
          <w:b/>
          <w:color w:val="000000"/>
          <w:sz w:val="28"/>
          <w:szCs w:val="28"/>
        </w:rPr>
        <w:tab/>
        <w:t>Ужесточено наказание за госизмену и терроризм</w:t>
      </w:r>
    </w:p>
    <w:p w:rsidR="006D2CA6" w:rsidRPr="00B14713" w:rsidRDefault="006D2CA6" w:rsidP="006D2CA6">
      <w:pPr>
        <w:jc w:val="both"/>
        <w:rPr>
          <w:color w:val="000000"/>
          <w:sz w:val="28"/>
          <w:szCs w:val="28"/>
          <w:shd w:val="clear" w:color="auto" w:fill="FFFFFF"/>
        </w:rPr>
      </w:pPr>
    </w:p>
    <w:p w:rsidR="006D2CA6" w:rsidRPr="00C5350B" w:rsidRDefault="006D2CA6" w:rsidP="006D2CA6">
      <w:pPr>
        <w:jc w:val="both"/>
        <w:rPr>
          <w:color w:val="000000"/>
          <w:sz w:val="28"/>
          <w:szCs w:val="28"/>
          <w:shd w:val="clear" w:color="auto" w:fill="FFFFFF"/>
        </w:rPr>
      </w:pPr>
      <w:r w:rsidRPr="00B14713">
        <w:rPr>
          <w:color w:val="000000"/>
          <w:sz w:val="28"/>
          <w:szCs w:val="28"/>
          <w:shd w:val="clear" w:color="auto" w:fill="FFFFFF"/>
        </w:rPr>
        <w:t>28.04.2023 подписан Федеральный закон № 157-ФЗ, которым введено пожизненное лишение свободы за госизмену и ужесточена ответственность за терроризм. Закон предусматривает повышение минимальной ответственности за вербовку или вовлечение в терроризм с 5 до 7 лет лишения свободы. По статье об организации террористического общества и участии в нем (ст. 205.4 УК РФ) может грозить срок от 10 до 15 лет (было от 5 до 10 лет). За совершение акта международного терроризма (ст. 361 УК РФ) срок от 12 лет вплоть до пожизненного заключения (было до 10 лет лишения свободы).</w:t>
      </w:r>
      <w:r w:rsidRPr="00B14713">
        <w:rPr>
          <w:color w:val="000000"/>
          <w:sz w:val="28"/>
          <w:szCs w:val="28"/>
          <w:shd w:val="clear" w:color="auto" w:fill="FFFFFF"/>
        </w:rPr>
        <w:br/>
        <w:t>Также введена новая статья в УК РФ (284.3) которой установлена ответственность за помощь в исполнении решений международных организаций и иностранных госорганов об уголовном преследовании представителей российской власти или военных.</w:t>
      </w:r>
    </w:p>
    <w:p w:rsidR="006D2CA6" w:rsidRPr="00C5350B" w:rsidRDefault="006D2CA6" w:rsidP="006D2CA6">
      <w:pPr>
        <w:jc w:val="center"/>
        <w:rPr>
          <w:b/>
          <w:color w:val="000000"/>
          <w:sz w:val="28"/>
          <w:szCs w:val="28"/>
        </w:rPr>
      </w:pPr>
    </w:p>
    <w:p w:rsidR="006D2CA6" w:rsidRPr="00C5350B" w:rsidRDefault="006D2CA6" w:rsidP="006D2CA6">
      <w:pPr>
        <w:jc w:val="center"/>
        <w:rPr>
          <w:b/>
          <w:color w:val="000000"/>
          <w:sz w:val="28"/>
          <w:szCs w:val="28"/>
        </w:rPr>
      </w:pPr>
      <w:r w:rsidRPr="00C5350B">
        <w:rPr>
          <w:b/>
          <w:color w:val="000000"/>
          <w:sz w:val="28"/>
          <w:szCs w:val="28"/>
        </w:rPr>
        <w:tab/>
        <w:t>Прокуратура Севского района разъясняет отдельные положения законодательства в сфере организации отдыха и оздоровления</w:t>
      </w:r>
    </w:p>
    <w:p w:rsidR="006D2CA6" w:rsidRPr="00C5350B" w:rsidRDefault="006D2CA6" w:rsidP="006D2CA6">
      <w:pPr>
        <w:jc w:val="both"/>
        <w:rPr>
          <w:color w:val="000000"/>
          <w:sz w:val="28"/>
          <w:szCs w:val="28"/>
          <w:shd w:val="clear" w:color="auto" w:fill="FFFFFF"/>
        </w:rPr>
      </w:pPr>
    </w:p>
    <w:p w:rsidR="006D2CA6" w:rsidRDefault="006D2CA6" w:rsidP="006D2CA6">
      <w:pPr>
        <w:jc w:val="both"/>
        <w:rPr>
          <w:sz w:val="28"/>
          <w:szCs w:val="28"/>
        </w:rPr>
      </w:pPr>
      <w:r>
        <w:rPr>
          <w:color w:val="000000"/>
          <w:sz w:val="28"/>
          <w:szCs w:val="28"/>
          <w:shd w:val="clear" w:color="auto" w:fill="FFFFFF"/>
        </w:rPr>
        <w:t>С 14.04.2023 вступили в силу положения Федерального закона от 03.04.2023 № 96-ФЗ «О внесении изменений в отдельные законодательные акты Российской Федерации».</w:t>
      </w:r>
      <w:r w:rsidRPr="00C5350B">
        <w:rPr>
          <w:color w:val="000000"/>
          <w:sz w:val="28"/>
          <w:szCs w:val="28"/>
          <w:shd w:val="clear" w:color="auto" w:fill="FFFFFF"/>
        </w:rPr>
        <w:br/>
      </w:r>
      <w:r>
        <w:rPr>
          <w:color w:val="000000"/>
          <w:sz w:val="28"/>
          <w:szCs w:val="28"/>
          <w:shd w:val="clear" w:color="auto" w:fill="FFFFFF"/>
        </w:rPr>
        <w:t>Так, указанным законом введено понятие «территория организации отдыха детей и их оздоровления» - это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r w:rsidRPr="00C5350B">
        <w:rPr>
          <w:color w:val="000000"/>
          <w:sz w:val="28"/>
          <w:szCs w:val="28"/>
          <w:shd w:val="clear" w:color="auto" w:fill="FFFFFF"/>
        </w:rPr>
        <w:br/>
      </w:r>
      <w:r>
        <w:rPr>
          <w:color w:val="000000"/>
          <w:sz w:val="28"/>
          <w:szCs w:val="28"/>
          <w:shd w:val="clear" w:color="auto" w:fill="FFFFFF"/>
        </w:rPr>
        <w:t>Согласно внесённым изменениям организации отдыха детей и их оздоровления смогут использовать акваторию водных объектов на основании договора водопользования, заключаемого без проведения аукциона.</w:t>
      </w:r>
      <w:r w:rsidRPr="00C5350B">
        <w:rPr>
          <w:color w:val="000000"/>
          <w:sz w:val="28"/>
          <w:szCs w:val="28"/>
          <w:shd w:val="clear" w:color="auto" w:fill="FFFFFF"/>
        </w:rPr>
        <w:br/>
      </w:r>
      <w:r>
        <w:rPr>
          <w:color w:val="000000"/>
          <w:sz w:val="28"/>
          <w:szCs w:val="28"/>
          <w:shd w:val="clear" w:color="auto" w:fill="FFFFFF"/>
        </w:rPr>
        <w:t>Кроме того, детские лагеря должны установить правила нахождения на территории организации отдыха детей и их оздоровления. Согласно закону, такие правила включают в себя особенности использования расположенных на территории организации отдыха детей и их оздоровления водного объекта, участка береговой полосы, особенности доступа к ним, а также правила поведения на указанной территории.</w:t>
      </w:r>
      <w:r w:rsidRPr="00C5350B">
        <w:rPr>
          <w:color w:val="000000"/>
          <w:sz w:val="28"/>
          <w:szCs w:val="28"/>
          <w:shd w:val="clear" w:color="auto" w:fill="FFFFFF"/>
        </w:rPr>
        <w:br/>
      </w:r>
      <w:r>
        <w:rPr>
          <w:color w:val="000000"/>
          <w:sz w:val="28"/>
          <w:szCs w:val="28"/>
          <w:shd w:val="clear" w:color="auto" w:fill="FFFFFF"/>
        </w:rPr>
        <w:t xml:space="preserve">Правила нахождения на территории организации отдыха детей и их </w:t>
      </w:r>
      <w:r>
        <w:rPr>
          <w:color w:val="000000"/>
          <w:sz w:val="28"/>
          <w:szCs w:val="28"/>
          <w:shd w:val="clear" w:color="auto" w:fill="FFFFFF"/>
        </w:rPr>
        <w:lastRenderedPageBreak/>
        <w:t>оздоровления должны быть доведены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rsidR="006D2CA6" w:rsidRPr="00C5350B" w:rsidRDefault="006D2CA6" w:rsidP="006D2CA6">
      <w:pPr>
        <w:rPr>
          <w:sz w:val="28"/>
          <w:szCs w:val="28"/>
        </w:rPr>
      </w:pPr>
    </w:p>
    <w:p w:rsidR="006D2CA6" w:rsidRDefault="006D2CA6" w:rsidP="006D2CA6">
      <w:pPr>
        <w:rPr>
          <w:sz w:val="28"/>
          <w:szCs w:val="28"/>
        </w:rPr>
      </w:pPr>
    </w:p>
    <w:p w:rsidR="006D2CA6" w:rsidRPr="00C5350B" w:rsidRDefault="006D2CA6" w:rsidP="006D2CA6">
      <w:pPr>
        <w:jc w:val="center"/>
        <w:rPr>
          <w:b/>
          <w:color w:val="000000"/>
          <w:sz w:val="28"/>
          <w:szCs w:val="28"/>
        </w:rPr>
      </w:pPr>
      <w:r>
        <w:rPr>
          <w:b/>
          <w:color w:val="000000"/>
          <w:sz w:val="28"/>
          <w:szCs w:val="28"/>
        </w:rPr>
        <w:t>Р</w:t>
      </w:r>
      <w:r w:rsidRPr="00C5350B">
        <w:rPr>
          <w:b/>
          <w:color w:val="000000"/>
          <w:sz w:val="28"/>
          <w:szCs w:val="28"/>
        </w:rPr>
        <w:t>оль комиссии по делам несовершеннолетних в координация деятельности органов и учреждений системы профилактики</w:t>
      </w:r>
    </w:p>
    <w:p w:rsidR="006D2CA6" w:rsidRDefault="006D2CA6" w:rsidP="006D2CA6">
      <w:pPr>
        <w:rPr>
          <w:sz w:val="28"/>
          <w:szCs w:val="28"/>
        </w:rPr>
      </w:pP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В соответствии с п. 1 ст. 11 Федерального закона от 24.06.1999 № 120-ФЗ «Об основах системы профилактики безнадзорности и правонарушений несовершеннолетних» (далее - Закон о профилактике правонарушений несовершеннолетних) целью создания КДН является координация деятельности органов и учреждений системы профилактики безнадзорности и правонарушений несовершеннолетних по:</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 предупреждению безнадзорности, беспризорности, правонарушений и антиобщественных действий несовершеннолетних;</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 выявлению и устранению причин и условий, способствующих вышеуказанным явлениям;</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 выявлению и пресечению случаев вовлечения несовершеннолетних в совершение преступлений, других противоправных и (или) антиобщественных действий;</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 выявлению и пресечению случаев склонения несовершеннолетних к суицидальным действиям.</w:t>
      </w:r>
    </w:p>
    <w:p w:rsidR="006D2CA6" w:rsidRDefault="006D2CA6" w:rsidP="006D2CA6">
      <w:pPr>
        <w:jc w:val="both"/>
        <w:rPr>
          <w:color w:val="000000"/>
          <w:sz w:val="28"/>
          <w:szCs w:val="28"/>
          <w:shd w:val="clear" w:color="auto" w:fill="FFFFFF"/>
        </w:rPr>
      </w:pPr>
    </w:p>
    <w:p w:rsidR="006D2CA6" w:rsidRPr="00C5350B" w:rsidRDefault="006D2CA6" w:rsidP="006D2CA6">
      <w:pPr>
        <w:rPr>
          <w:sz w:val="28"/>
          <w:szCs w:val="28"/>
        </w:rPr>
      </w:pPr>
    </w:p>
    <w:p w:rsidR="006D2CA6" w:rsidRDefault="006D2CA6" w:rsidP="006D2CA6">
      <w:pPr>
        <w:rPr>
          <w:sz w:val="28"/>
          <w:szCs w:val="28"/>
        </w:rPr>
      </w:pPr>
    </w:p>
    <w:p w:rsidR="006D2CA6" w:rsidRPr="00C5350B" w:rsidRDefault="006D2CA6" w:rsidP="006D2CA6">
      <w:pPr>
        <w:jc w:val="center"/>
        <w:rPr>
          <w:b/>
          <w:color w:val="000000"/>
          <w:sz w:val="28"/>
          <w:szCs w:val="28"/>
        </w:rPr>
      </w:pPr>
      <w:r w:rsidRPr="00C5350B">
        <w:rPr>
          <w:b/>
          <w:color w:val="000000"/>
          <w:sz w:val="28"/>
          <w:szCs w:val="28"/>
        </w:rPr>
        <w:t>В ОТНОШЕНИИ КАКИХ КАТЕГОРИЙ НЕСОВЕРШЕННОЛЕТНИХ ЛИЦ, ПРОВОДИТСЯ ИНДИВИДУАЛЬНАЯ ПРОФИЛАКТИЧЕСКАЯ РАБОТА</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Согласно п. 1 ст. 5 Федерального закона от 24.06.1999 № 120-ФЗ "Об основах системы профилактики безнадзорности и правонарушений несовершеннолетних" (далее - Закон от 24.06.1999 N 120-ФЗ)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1) безнадзорных или беспризорных;</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2) занимающихся бродяжничеством или попрошайничеством;</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 xml:space="preserve">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w:t>
      </w:r>
      <w:r w:rsidRPr="00C5350B">
        <w:rPr>
          <w:color w:val="000000"/>
          <w:sz w:val="28"/>
          <w:szCs w:val="28"/>
          <w:shd w:val="clear" w:color="auto" w:fill="FFFFFF"/>
        </w:rPr>
        <w:lastRenderedPageBreak/>
        <w:t>и других учреждениях для несовершеннолетних, нуждающихся в социальной помощи и (или) реабилитации;</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5) совершивших правонарушение, повлекшее применение мер административной ответственности;</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6) совершивших правонарушение до достижения возраста, с которого наступает административная ответственность;</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8) совершивших общественно опасное деяние и не подлежащих уголовной ответственности в связи с не 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9) обвиняемых или подозреваемых в совершении преступлений, в отношении которых избраны меры пресечения, предусмотренные Уголовно-процессуальным кодексом Российской Федерации;</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9.1) отбывающих наказание в виде лишения свободы в воспитательных колониях;</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11) которым предоставлена отсрочка отбывания наказания или отсрочка исполнения приговора;</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6D2CA6" w:rsidRPr="00C5350B" w:rsidRDefault="006D2CA6" w:rsidP="006D2CA6">
      <w:pPr>
        <w:jc w:val="both"/>
        <w:rPr>
          <w:color w:val="000000"/>
          <w:sz w:val="28"/>
          <w:szCs w:val="28"/>
          <w:shd w:val="clear" w:color="auto" w:fill="FFFFFF"/>
        </w:rPr>
      </w:pPr>
      <w:r w:rsidRPr="00C5350B">
        <w:rPr>
          <w:color w:val="000000"/>
          <w:sz w:val="28"/>
          <w:szCs w:val="28"/>
          <w:shd w:val="clear" w:color="auto" w:fill="FFFFFF"/>
        </w:rPr>
        <w:t>14) осужденных условно, осужденных к обязательным работам, исправительным работам или иным мерам наказания, не связанным с лишением свободы.</w:t>
      </w:r>
    </w:p>
    <w:p w:rsidR="004759A3" w:rsidRDefault="004759A3">
      <w:bookmarkStart w:id="0" w:name="_GoBack"/>
      <w:bookmarkEnd w:id="0"/>
    </w:p>
    <w:sectPr w:rsidR="00475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66"/>
    <w:rsid w:val="004759A3"/>
    <w:rsid w:val="006D2CA6"/>
    <w:rsid w:val="00864350"/>
    <w:rsid w:val="00FF7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C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C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2932</Words>
  <Characters>16713</Characters>
  <Application>Microsoft Office Word</Application>
  <DocSecurity>0</DocSecurity>
  <Lines>139</Lines>
  <Paragraphs>39</Paragraphs>
  <ScaleCrop>false</ScaleCrop>
  <Company>diakov.net</Company>
  <LinksUpToDate>false</LinksUpToDate>
  <CharactersWithSpaces>19606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Фирсова</dc:creator>
  <cp:keywords/>
  <dc:description/>
  <cp:lastModifiedBy>Фирсова</cp:lastModifiedBy>
  <cp:revision>2</cp:revision>
  <dcterms:created xsi:type="dcterms:W3CDTF">2023-06-28T20:43:00Z</dcterms:created>
  <dcterms:modified xsi:type="dcterms:W3CDTF">2023-06-28T20:43:00Z</dcterms:modified>
</cp:coreProperties>
</file>